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000000"/>
  <w:body>
    <w:p>
      <w:pPr>
        <w:pStyle w:val="Title"/>
      </w:pPr>
      <w:r>
        <w:rPr>
          <w:rFonts w:ascii="DejaVu Sans" w:hAnsi="DejaVu Sans"/>
        </w:rPr>
        <w:t>Guide d’installation SercoCAN</w:t>
      </w:r>
    </w:p>
    <w:p>
      <w:pPr>
        <w:spacing w:after="180"/>
      </w:pPr>
      <w:r>
        <w:rPr>
          <w:rFonts w:ascii="DejaVu Sans" w:hAnsi="DejaVu Sans"/>
          <w:color w:val="ED6D00"/>
          <w:sz w:val="18"/>
        </w:rPr>
        <w:t>Connexion BMW RDC  /  Français</w:t>
      </w:r>
    </w:p>
    <w:p>
      <w:pPr>
        <w:spacing w:line="260" w:lineRule="exact"/>
      </w:pPr>
      <w:r>
        <w:rPr>
          <w:rFonts w:ascii="DejaVu Sans" w:hAnsi="DejaVu Sans"/>
          <w:color w:val="FFFFFF"/>
          <w:sz w:val="19"/>
        </w:rPr>
        <w:t>Ce guide décrit le raccordement de SercoCAN au connecteur BMW RDC, le branchement des feux et le rétablissement de l’alimentation. Avant l’installation, vérifiez que le connecteur de la moto correspond au faisceau fourni. Les photos facilitent le repérage ; l’emplacement réel dépend de la moto.</w:t>
      </w:r>
    </w:p>
    <w:p>
      <w:pPr>
        <w:spacing w:before="0" w:after="100" w:line="320" w:lineRule="exact"/>
      </w:pPr>
      <w:r>
        <w:rPr>
          <w:rFonts w:ascii="DejaVu Sans" w:hAnsi="DejaVu Sans"/>
          <w:b w:val="0"/>
          <w:color w:val="FFFFFF"/>
          <w:sz w:val="20"/>
        </w:rPr>
        <w:t>Modèles compatibles  R1200GS / R1250GS / F750GS / R1200RT</w:t>
        <w:br/>
        <w:t>R1250RT / F850GS / F900GS</w:t>
      </w:r>
    </w:p>
    <w:p>
      <w:pPr>
        <w:spacing w:line="250" w:lineRule="exact" w:after="80"/>
      </w:pPr>
      <w:r>
        <w:rPr>
          <w:rFonts w:ascii="DejaVu Sans" w:hAnsi="DejaVu Sans"/>
          <w:color w:val="FFFFFF"/>
          <w:sz w:val="18"/>
        </w:rPr>
        <w:t>Chaque modèle nécessite le faisceau adaptateur correspondant. Les étapes ci-dessous concernent les connecteurs RDC. Pour les autres versions, suivez les instructions du faisceau adapté.</w:t>
      </w:r>
    </w:p>
    <w:p>
      <w:pPr>
        <w:pStyle w:val="Heading1"/>
      </w:pPr>
      <w:r>
        <w:rPr>
          <w:rFonts w:ascii="DejaVu Sans" w:hAnsi="DejaVu Sans"/>
        </w:rPr>
        <w:t>1  Couper le contact et débrancher la batterie</w:t>
      </w:r>
    </w:p>
    <w:p>
      <w:pPr>
        <w:spacing w:line="260" w:lineRule="exact"/>
      </w:pPr>
      <w:r>
        <w:rPr>
          <w:rFonts w:ascii="DejaVu Sans" w:hAnsi="DejaVu Sans"/>
          <w:sz w:val="19"/>
        </w:rPr>
        <w:t>Coupez le contact, éloignez la clé et attendez la mise en veille de l’électronique. Débranchez d’abord la borne négative (−), puis la borne positive (+), pour éviter un court-circuit si un outil touche le cadre.</w:t>
      </w:r>
    </w:p>
    <w:p>
      <w:pPr>
        <w:pStyle w:val="Heading1"/>
      </w:pPr>
      <w:r>
        <w:rPr>
          <w:rFonts w:ascii="DejaVu Sans" w:hAnsi="DejaVu Sans"/>
        </w:rPr>
        <w:t>2  Repérer le connecteur RDC</w:t>
      </w:r>
    </w:p>
    <w:p>
      <w:pPr>
        <w:spacing w:line="260" w:lineRule="exact"/>
      </w:pPr>
      <w:r>
        <w:rPr>
          <w:rFonts w:ascii="DejaVu Sans" w:hAnsi="DejaVu Sans"/>
          <w:sz w:val="19"/>
        </w:rPr>
        <w:t>Retirez la selle et inspectez la zone électronique arrière. Si la moto dispose d’un module RDC de surveillance de la pression des pneus, utilisez son connecteur d’origine. Sans module RDC, recherchez la fiche de résistance de terminaison ou le bouchon d’origine sur le connecteur correspondant du faisceau.</w:t>
      </w:r>
    </w:p>
    <w:p>
      <w:pPr>
        <w:spacing w:line="250" w:lineRule="exact"/>
      </w:pPr>
      <w:r>
        <w:rPr>
          <w:rFonts w:ascii="DejaVu Sans" w:hAnsi="DejaVu Sans"/>
          <w:color w:val="FFFFFF"/>
          <w:sz w:val="18"/>
        </w:rPr>
        <w:t>Vérifiez la forme du connecteur, les broches et le verrouillage. Ne forcez pas l’emboîtement.</w:t>
      </w:r>
    </w:p>
    <w:p>
      <w:pPr>
        <w:keepNext/>
        <w:spacing w:before="80" w:after="60" w:line="240" w:lineRule="auto"/>
        <w:jc w:val="center"/>
      </w:pPr>
      <w:r>
        <w:drawing>
          <wp:inline xmlns:a="http://schemas.openxmlformats.org/drawingml/2006/main" xmlns:pic="http://schemas.openxmlformats.org/drawingml/2006/picture">
            <wp:extent cx="4846320" cy="3641433"/>
            <wp:docPr id="1" name="Picture 1"/>
            <wp:cNvGraphicFramePr>
              <a:graphicFrameLocks noChangeAspect="1"/>
            </wp:cNvGraphicFramePr>
            <a:graphic>
              <a:graphicData uri="http://schemas.openxmlformats.org/drawingml/2006/picture">
                <pic:pic>
                  <pic:nvPicPr>
                    <pic:cNvPr id="0" name="orange_photo_7.png"/>
                    <pic:cNvPicPr/>
                  </pic:nvPicPr>
                  <pic:blipFill>
                    <a:blip r:embed="rId11"/>
                    <a:stretch>
                      <a:fillRect/>
                    </a:stretch>
                  </pic:blipFill>
                  <pic:spPr>
                    <a:xfrm>
                      <a:off x="0" y="0"/>
                      <a:ext cx="4846320" cy="3641433"/>
                    </a:xfrm>
                    <a:prstGeom prst="rect"/>
                  </pic:spPr>
                </pic:pic>
              </a:graphicData>
            </a:graphic>
          </wp:inline>
        </w:drawing>
      </w:r>
    </w:p>
    <w:p>
      <w:pPr>
        <w:pStyle w:val="Caption"/>
        <w:spacing w:line="220" w:lineRule="exact"/>
        <w:jc w:val="center"/>
      </w:pPr>
      <w:r>
        <w:rPr>
          <w:rFonts w:ascii="DejaVu Sans" w:hAnsi="DejaVu Sans"/>
          <w:sz w:val="16"/>
        </w:rPr>
        <w:t>Fig. 1  Flèche verte : raccordement. Croix rouge : ne pas débrancher ici.</w:t>
      </w:r>
    </w:p>
    <w:p>
      <w:pPr>
        <w:pStyle w:val="Heading1"/>
        <w:pageBreakBefore/>
      </w:pPr>
      <w:r>
        <w:rPr>
          <w:rFonts w:ascii="DejaVu Sans" w:hAnsi="DejaVu Sans"/>
        </w:rPr>
        <w:t>3A  Motos équipées d’un module RDC</w:t>
      </w:r>
    </w:p>
    <w:p>
      <w:pPr>
        <w:spacing w:line="260" w:lineRule="exact"/>
      </w:pPr>
      <w:r>
        <w:rPr>
          <w:rFonts w:ascii="DejaVu Sans" w:hAnsi="DejaVu Sans"/>
          <w:sz w:val="19"/>
        </w:rPr>
        <w:t>1. Déverrouillez et débranchez le connecteur d’origine du module RDC.</w:t>
        <w:br/>
        <w:t>2. Branchez-le à l’extrémité correspondante du faisceau adaptateur SercoCAN, puis raccordez l’autre extrémité au module RDC afin d’intercaler le faisceau.</w:t>
        <w:br/>
        <w:t>3. Branchez la fiche ronde du faisceau adaptateur au connecteur SercoCAN. Vérifiez que tous les verrous sont bien enclenchés.</w:t>
      </w:r>
    </w:p>
    <w:p>
      <w:pPr>
        <w:pStyle w:val="Heading1"/>
        <w:pageBreakBefore w:val="0"/>
      </w:pPr>
      <w:r>
        <w:rPr>
          <w:rFonts w:ascii="DejaVu Sans" w:hAnsi="DejaVu Sans"/>
        </w:rPr>
        <w:t>3B  Motos sans module RDC</w:t>
      </w:r>
    </w:p>
    <w:p>
      <w:pPr>
        <w:spacing w:line="260" w:lineRule="exact"/>
      </w:pPr>
      <w:r>
        <w:rPr>
          <w:rFonts w:ascii="DejaVu Sans" w:hAnsi="DejaVu Sans"/>
          <w:sz w:val="19"/>
        </w:rPr>
        <w:t>1. Repérez la fiche de résistance de terminaison ou le bouchon d’origine à l’emplacement du faisceau RDC. Vérifiez sa compatibilité avec l’adaptateur fourni, puis déverrouillez-le et retirez-le.</w:t>
        <w:br/>
        <w:t>2. Branchez le connecteur du faisceau d’origine à l’extrémité correspondante de l’adaptateur SercoCAN. Rebranchez la fiche de résistance ou le bouchon retiré sur le connecteur restant correspondant de l’adaptateur.</w:t>
        <w:br/>
        <w:t>3. Branchez la fiche ronde de l’adaptateur au connecteur SercoCAN. Vérifiez que tous les verrous sont bien enclenchés.</w:t>
      </w:r>
    </w:p>
    <w:p>
      <w:pPr>
        <w:spacing w:line="250" w:lineRule="exact"/>
      </w:pPr>
      <w:r>
        <w:rPr>
          <w:rFonts w:ascii="DejaVu Sans" w:hAnsi="DejaVu Sans"/>
          <w:color w:val="FFFFFF"/>
          <w:sz w:val="18"/>
        </w:rPr>
        <w:t>Attention : une fiche de résistance de terminaison n’est pas un simple cache antipoussière. Ne la jetez pas et ne la remplacez pas par un bouchon ordinaire. Si la moto ne possède pas de connecteur libre correspondant, faites d’abord confirmer le faisceau spécifique nécessaire.</w:t>
      </w:r>
    </w:p>
    <w:p>
      <w:pPr>
        <w:pStyle w:val="Heading1"/>
      </w:pPr>
      <w:r>
        <w:rPr>
          <w:rFonts w:ascii="DejaVu Sans" w:hAnsi="DejaVu Sans"/>
        </w:rPr>
        <w:t>4  Brancher les feux et fixer le faisceau</w:t>
      </w:r>
    </w:p>
    <w:p>
      <w:pPr>
        <w:spacing w:line="260" w:lineRule="exact"/>
      </w:pPr>
      <w:r>
        <w:rPr>
          <w:rFonts w:ascii="DejaVu Sans" w:hAnsi="DejaVu Sans"/>
          <w:sz w:val="19"/>
        </w:rPr>
        <w:t>SercoCAN offre quatre connexions : deux pour les feux principaux et deux pour les feux auxiliaires. Respectez les étiquettes du faisceau sans mélanger les groupes. Fixez le boîtier et le faisceau loin des sources de chaleur, des arêtes et des pièces mobiles. La selle ne doit pas pincer les câbles.</w:t>
      </w:r>
    </w:p>
    <w:p>
      <w:pPr>
        <w:keepNext/>
        <w:spacing w:before="80" w:after="60" w:line="240" w:lineRule="auto"/>
        <w:jc w:val="center"/>
      </w:pPr>
      <w:r>
        <w:drawing>
          <wp:inline xmlns:a="http://schemas.openxmlformats.org/drawingml/2006/main" xmlns:pic="http://schemas.openxmlformats.org/drawingml/2006/picture">
            <wp:extent cx="2743200" cy="1544671"/>
            <wp:docPr id="2" name="Picture 2"/>
            <wp:cNvGraphicFramePr>
              <a:graphicFrameLocks noChangeAspect="1"/>
            </wp:cNvGraphicFramePr>
            <a:graphic>
              <a:graphicData uri="http://schemas.openxmlformats.org/drawingml/2006/picture">
                <pic:pic>
                  <pic:nvPicPr>
                    <pic:cNvPr id="0" name="orange_photo_17.png"/>
                    <pic:cNvPicPr/>
                  </pic:nvPicPr>
                  <pic:blipFill>
                    <a:blip r:embed="rId12"/>
                    <a:stretch>
                      <a:fillRect/>
                    </a:stretch>
                  </pic:blipFill>
                  <pic:spPr>
                    <a:xfrm>
                      <a:off x="0" y="0"/>
                      <a:ext cx="2743200" cy="1544671"/>
                    </a:xfrm>
                    <a:prstGeom prst="rect"/>
                  </pic:spPr>
                </pic:pic>
              </a:graphicData>
            </a:graphic>
          </wp:inline>
        </w:drawing>
      </w:r>
    </w:p>
    <w:p>
      <w:pPr>
        <w:pStyle w:val="Caption"/>
        <w:spacing w:line="220" w:lineRule="exact"/>
        <w:jc w:val="center"/>
      </w:pPr>
      <w:r>
        <w:rPr>
          <w:rFonts w:ascii="DejaVu Sans" w:hAnsi="DejaVu Sans"/>
          <w:sz w:val="16"/>
        </w:rPr>
        <w:t>Fig. 2  Boîtier SercoCAN et zone d’installation</w:t>
      </w:r>
    </w:p>
    <w:p>
      <w:pPr>
        <w:pStyle w:val="Heading1"/>
      </w:pPr>
      <w:r>
        <w:rPr>
          <w:rFonts w:ascii="DejaVu Sans" w:hAnsi="DejaVu Sans"/>
        </w:rPr>
        <w:t>5  Rebrancher la batterie</w:t>
      </w:r>
    </w:p>
    <w:p>
      <w:pPr>
        <w:spacing w:line="260" w:lineRule="exact"/>
      </w:pPr>
      <w:r>
        <w:rPr>
          <w:rFonts w:ascii="DejaVu Sans" w:hAnsi="DejaVu Sans"/>
          <w:sz w:val="19"/>
        </w:rPr>
        <w:t>Rebranchez d’abord le câble positif SercoCAN avec fusible et le câble positif d’origine à la borne positive (+). Rebranchez ensuite le câble négatif SercoCAN et le câble négatif d’origine à la borne négative (−). Fiez-vous aux repères de polarité des cosses, et pas uniquement à la couleur des fils.</w:t>
      </w:r>
    </w:p>
    <w:p>
      <w:pPr>
        <w:pStyle w:val="Heading1"/>
      </w:pPr>
      <w:r>
        <w:rPr>
          <w:rFonts w:ascii="DejaVu Sans" w:hAnsi="DejaVu Sans"/>
        </w:rPr>
        <w:t>6  Vérifier le fonctionnement</w:t>
      </w:r>
    </w:p>
    <w:p>
      <w:pPr>
        <w:spacing w:line="260" w:lineRule="exact"/>
      </w:pPr>
      <w:r>
        <w:rPr>
          <w:rFonts w:ascii="DejaVu Sans" w:hAnsi="DejaVu Sans"/>
          <w:sz w:val="19"/>
        </w:rPr>
        <w:t>Vérifiez le verrouillage des connecteurs, le serrage des bornes et la fixation du faisceau, puis mettez le contact. Testez séparément les feux principaux, auxiliaires et leurs commandes. Vérifiez l’absence de nouveaux messages de défaut. Remontez ensuite la selle.</w:t>
      </w:r>
    </w:p>
    <w:p>
      <w:pPr>
        <w:spacing w:line="250" w:lineRule="exact"/>
      </w:pPr>
      <w:r>
        <w:rPr>
          <w:rFonts w:ascii="DejaVu Sans" w:hAnsi="DejaVu Sans"/>
          <w:color w:val="FFFFFF"/>
          <w:sz w:val="18"/>
        </w:rPr>
        <w:t>Si les feux ne répondent pas ou si un nouveau défaut apparaît, coupez le contact et contrôlez les connecteurs, les groupes de feux et la polarité. Évitez les débranchements et branchements répétés sous tension.</w:t>
      </w:r>
    </w:p>
    <w:sectPr w:rsidR="00FC693F" w:rsidRPr="0006063C" w:rsidSect="00034616">
      <w:headerReference w:type="default" r:id="rId9"/>
      <w:footerReference w:type="default" r:id="rId10"/>
      <w:pgSz w:w="12240" w:h="15840"/>
      <w:pgMar w:top="1123"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76" w:val="left"/>
      </w:tabs>
      <w:spacing w:after="0"/>
    </w:pPr>
    <w:r>
      <w:rPr>
        <w:color w:val="FFFFFF"/>
        <w:sz w:val="16"/>
      </w:rPr>
      <w:t>SERCOCAN  ·  Guide d’installation</w:t>
    </w:r>
    <w:r>
      <w:rPr>
        <w:color w:val="FFFFFF"/>
      </w:rPr>
      <w:tab/>
    </w:r>
    <w:r>
      <w:rPr>
        <w:b/>
        <w:color w:val="FFFFFF"/>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pPr>
    <w:r>
      <w:drawing>
        <wp:inline xmlns:a="http://schemas.openxmlformats.org/drawingml/2006/main" xmlns:pic="http://schemas.openxmlformats.org/drawingml/2006/picture">
          <wp:extent cx="1508760" cy="375211"/>
          <wp:docPr id="1" name="Picture 1"/>
          <wp:cNvGraphicFramePr>
            <a:graphicFrameLocks noChangeAspect="1"/>
          </wp:cNvGraphicFramePr>
          <a:graphic>
            <a:graphicData uri="http://schemas.openxmlformats.org/drawingml/2006/picture">
              <pic:pic>
                <pic:nvPicPr>
                  <pic:cNvPr id="0" name="SercoMoto.png"/>
                  <pic:cNvPicPr/>
                </pic:nvPicPr>
                <pic:blipFill>
                  <a:blip r:embed="rId1"/>
                  <a:stretch>
                    <a:fillRect/>
                  </a:stretch>
                </pic:blipFill>
                <pic:spPr>
                  <a:xfrm>
                    <a:off x="0" y="0"/>
                    <a:ext cx="1508760" cy="375211"/>
                  </a:xfrm>
                  <a:prstGeom prst="rect"/>
                </pic:spPr>
              </pic:pic>
            </a:graphicData>
          </a:graphic>
        </wp:inline>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wrapNone/>
          <wp:docPr id="990" name="Black page background"/>
          <wp:cNvGraphicFramePr>
            <a:graphicFrameLocks noChangeAspect="1"/>
          </wp:cNvGraphicFramePr>
          <a:graphic>
            <a:graphicData uri="http://schemas.openxmlformats.org/drawingml/2006/picture">
              <pic:pic>
                <pic:nvPicPr>
                  <pic:cNvPr id="0" name="page_black.png"/>
                  <pic:cNvPicPr/>
                </pic:nvPicPr>
                <pic:blipFill>
                  <a:blip r:embed="rId2"/>
                  <a:stretch>
                    <a:fillRect/>
                  </a:stretch>
                </pic:blipFill>
                <pic:spPr>
                  <a:xfrm>
                    <a:off x="0" y="0"/>
                    <a:ext cx="7772400" cy="100584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0" w:lineRule="exact" w:after="120"/>
    </w:pPr>
    <w:rPr>
      <w:rFonts w:ascii="DejaVu Sans" w:hAnsi="DejaVu Sans" w:eastAsia="DejaVu Sans"/>
      <w:color w:val="FFFFF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olor w:val="FFFFFF"/>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olor w:val="FFFFFF"/>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320" w:lineRule="exact"/>
      <w:outlineLvl w:val="0"/>
    </w:pPr>
    <w:rPr>
      <w:rFonts w:asciiTheme="majorHAnsi" w:eastAsiaTheme="majorEastAsia" w:hAnsiTheme="majorHAnsi" w:cstheme="majorBidi" w:ascii="DejaVu Sans" w:hAnsi="DejaVu Sans" w:eastAsia="DejaVu Sans"/>
      <w:b/>
      <w:bCs/>
      <w:color w:val="ED6D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eastAsia="DejaVu Sans"/>
      <w:b/>
      <w:bCs/>
      <w:color w:val="FFFF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DejaVu Sans" w:hAnsi="DejaVu Sans" w:eastAsia="DejaVu Sans"/>
      <w:b/>
      <w:bCs/>
      <w:color w:val="FFFFF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DejaVu Sans" w:hAnsi="DejaVu Sans" w:eastAsia="DejaVu Sans"/>
      <w:b/>
      <w:bCs/>
      <w:i/>
      <w:iCs/>
      <w:color w:val="FFFFFF"/>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DejaVu Sans" w:hAnsi="DejaVu Sans" w:eastAsia="DejaVu Sans"/>
      <w:color w:val="FFFFF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DejaVu Sans" w:hAnsi="DejaVu Sans" w:eastAsia="DejaVu Sans"/>
      <w:i/>
      <w:iCs/>
      <w:color w:val="FFFFF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DejaVu Sans" w:hAnsi="DejaVu Sans" w:eastAsia="DejaVu Sans"/>
      <w:i/>
      <w:iCs/>
      <w:color w:val="FFFFF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DejaVu Sans" w:hAnsi="DejaVu Sans" w:eastAsia="DejaVu Sans"/>
      <w:color w:val="FFFFFF"/>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DejaVu Sans" w:hAnsi="DejaVu Sans" w:eastAsia="DejaVu Sans"/>
      <w:i/>
      <w:iC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ejaVu Sans" w:hAnsi="DejaVu Sans" w:eastAsia="DejaVu Sans"/>
      <w:color w:val="FFFFFF"/>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eastAsia="DejaVu Sans"/>
      <w:b/>
      <w:color w:val="FFFFF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i/>
      <w:iCs/>
      <w:color w:val="FFFFFF"/>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DejaVu Sans" w:hAnsi="DejaVu Sans" w:eastAsia="DejaVu Sans"/>
      <w:color w:val="FFFFFF"/>
    </w:rPr>
  </w:style>
  <w:style w:type="paragraph" w:styleId="BodyText">
    <w:name w:val="Body Text"/>
    <w:basedOn w:val="Normal"/>
    <w:link w:val="BodyTextChar"/>
    <w:uiPriority w:val="99"/>
    <w:unhideWhenUsed/>
    <w:rsid w:val="00AA1D8D"/>
    <w:pPr>
      <w:spacing w:after="120"/>
    </w:pPr>
    <w:rPr>
      <w:rFonts w:ascii="DejaVu Sans" w:hAnsi="DejaVu Sans" w:eastAsia="DejaVu Sans"/>
      <w:color w:val="FFFFFF"/>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DejaVu Sans" w:hAnsi="DejaVu Sans" w:eastAsia="DejaVu Sans"/>
      <w:color w:val="FFFFFF"/>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DejaVu Sans" w:hAnsi="DejaVu Sans" w:eastAsia="DejaVu Sans"/>
      <w:color w:val="FFFFFF"/>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DejaVu Sans" w:hAnsi="DejaVu Sans" w:eastAsia="DejaVu Sans"/>
      <w:color w:val="FFFFFF"/>
    </w:rPr>
  </w:style>
  <w:style w:type="paragraph" w:styleId="List2">
    <w:name w:val="List 2"/>
    <w:basedOn w:val="Normal"/>
    <w:uiPriority w:val="99"/>
    <w:unhideWhenUsed/>
    <w:rsid w:val="00326F90"/>
    <w:pPr>
      <w:ind w:left="720" w:hanging="360"/>
      <w:contextualSpacing/>
    </w:pPr>
    <w:rPr>
      <w:rFonts w:ascii="DejaVu Sans" w:hAnsi="DejaVu Sans" w:eastAsia="DejaVu Sans"/>
      <w:color w:val="FFFFFF"/>
    </w:rPr>
  </w:style>
  <w:style w:type="paragraph" w:styleId="List3">
    <w:name w:val="List 3"/>
    <w:basedOn w:val="Normal"/>
    <w:uiPriority w:val="99"/>
    <w:unhideWhenUsed/>
    <w:rsid w:val="00326F90"/>
    <w:pPr>
      <w:ind w:left="1080" w:hanging="360"/>
      <w:contextualSpacing/>
    </w:pPr>
    <w:rPr>
      <w:rFonts w:ascii="DejaVu Sans" w:hAnsi="DejaVu Sans" w:eastAsia="DejaVu Sans"/>
      <w:color w:val="FFFFFF"/>
    </w:rPr>
  </w:style>
  <w:style w:type="paragraph" w:styleId="ListBullet">
    <w:name w:val="List Bullet"/>
    <w:basedOn w:val="Normal"/>
    <w:uiPriority w:val="99"/>
    <w:unhideWhenUsed/>
    <w:rsid w:val="00326F90"/>
    <w:pPr>
      <w:numPr>
        <w:numId w:val="1"/>
      </w:numPr>
      <w:contextualSpacing/>
    </w:pPr>
    <w:rPr>
      <w:rFonts w:ascii="DejaVu Sans" w:hAnsi="DejaVu Sans" w:eastAsia="DejaVu Sans"/>
      <w:color w:val="FFFFFF"/>
    </w:rPr>
  </w:style>
  <w:style w:type="paragraph" w:styleId="ListBullet2">
    <w:name w:val="List Bullet 2"/>
    <w:basedOn w:val="Normal"/>
    <w:uiPriority w:val="99"/>
    <w:unhideWhenUsed/>
    <w:rsid w:val="00326F90"/>
    <w:pPr>
      <w:numPr>
        <w:numId w:val="2"/>
      </w:numPr>
      <w:contextualSpacing/>
    </w:pPr>
    <w:rPr>
      <w:rFonts w:ascii="DejaVu Sans" w:hAnsi="DejaVu Sans" w:eastAsia="DejaVu Sans"/>
      <w:color w:val="FFFFFF"/>
    </w:rPr>
  </w:style>
  <w:style w:type="paragraph" w:styleId="ListBullet3">
    <w:name w:val="List Bullet 3"/>
    <w:basedOn w:val="Normal"/>
    <w:uiPriority w:val="99"/>
    <w:unhideWhenUsed/>
    <w:rsid w:val="00326F90"/>
    <w:pPr>
      <w:numPr>
        <w:numId w:val="3"/>
      </w:numPr>
      <w:contextualSpacing/>
    </w:pPr>
    <w:rPr>
      <w:rFonts w:ascii="DejaVu Sans" w:hAnsi="DejaVu Sans" w:eastAsia="DejaVu Sans"/>
      <w:color w:val="FFFFFF"/>
    </w:rPr>
  </w:style>
  <w:style w:type="paragraph" w:styleId="ListNumber">
    <w:name w:val="List Number"/>
    <w:basedOn w:val="Normal"/>
    <w:uiPriority w:val="99"/>
    <w:unhideWhenUsed/>
    <w:rsid w:val="00326F90"/>
    <w:pPr>
      <w:numPr>
        <w:numId w:val="5"/>
      </w:numPr>
      <w:contextualSpacing/>
    </w:pPr>
    <w:rPr>
      <w:rFonts w:ascii="DejaVu Sans" w:hAnsi="DejaVu Sans" w:eastAsia="DejaVu Sans"/>
      <w:color w:val="FFFFFF"/>
    </w:rPr>
  </w:style>
  <w:style w:type="paragraph" w:styleId="ListNumber2">
    <w:name w:val="List Number 2"/>
    <w:basedOn w:val="Normal"/>
    <w:uiPriority w:val="99"/>
    <w:unhideWhenUsed/>
    <w:rsid w:val="0029639D"/>
    <w:pPr>
      <w:numPr>
        <w:numId w:val="6"/>
      </w:numPr>
      <w:contextualSpacing/>
    </w:pPr>
    <w:rPr>
      <w:rFonts w:ascii="DejaVu Sans" w:hAnsi="DejaVu Sans" w:eastAsia="DejaVu Sans"/>
      <w:color w:val="FFFFFF"/>
    </w:rPr>
  </w:style>
  <w:style w:type="paragraph" w:styleId="ListNumber3">
    <w:name w:val="List Number 3"/>
    <w:basedOn w:val="Normal"/>
    <w:uiPriority w:val="99"/>
    <w:unhideWhenUsed/>
    <w:rsid w:val="0029639D"/>
    <w:pPr>
      <w:numPr>
        <w:numId w:val="7"/>
      </w:numPr>
      <w:contextualSpacing/>
    </w:pPr>
    <w:rPr>
      <w:rFonts w:ascii="DejaVu Sans" w:hAnsi="DejaVu Sans" w:eastAsia="DejaVu Sans"/>
      <w:color w:val="FFFFFF"/>
    </w:rPr>
  </w:style>
  <w:style w:type="paragraph" w:styleId="ListContinue">
    <w:name w:val="List Continue"/>
    <w:basedOn w:val="Normal"/>
    <w:uiPriority w:val="99"/>
    <w:unhideWhenUsed/>
    <w:rsid w:val="0029639D"/>
    <w:pPr>
      <w:spacing w:after="120"/>
      <w:ind w:left="360"/>
      <w:contextualSpacing/>
    </w:pPr>
    <w:rPr>
      <w:rFonts w:ascii="DejaVu Sans" w:hAnsi="DejaVu Sans" w:eastAsia="DejaVu Sans"/>
      <w:color w:val="FFFFFF"/>
    </w:rPr>
  </w:style>
  <w:style w:type="paragraph" w:styleId="ListContinue2">
    <w:name w:val="List Continue 2"/>
    <w:basedOn w:val="Normal"/>
    <w:uiPriority w:val="99"/>
    <w:unhideWhenUsed/>
    <w:rsid w:val="0029639D"/>
    <w:pPr>
      <w:spacing w:after="120"/>
      <w:ind w:left="720"/>
      <w:contextualSpacing/>
    </w:pPr>
    <w:rPr>
      <w:rFonts w:ascii="DejaVu Sans" w:hAnsi="DejaVu Sans" w:eastAsia="DejaVu Sans"/>
      <w:color w:val="FFFFFF"/>
    </w:rPr>
  </w:style>
  <w:style w:type="paragraph" w:styleId="ListContinue3">
    <w:name w:val="List Continue 3"/>
    <w:basedOn w:val="Normal"/>
    <w:uiPriority w:val="99"/>
    <w:unhideWhenUsed/>
    <w:rsid w:val="0029639D"/>
    <w:pPr>
      <w:spacing w:after="120"/>
      <w:ind w:left="1080"/>
      <w:contextualSpacing/>
    </w:pPr>
    <w:rPr>
      <w:rFonts w:ascii="DejaVu Sans" w:hAnsi="DejaVu Sans" w:eastAsia="DejaVu Sans"/>
      <w:color w:val="FFFFFF"/>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ejaVu Sans" w:hAnsi="DejaVu Sans" w:eastAsia="DejaVu Sans"/>
      <w:color w:val="FFFFFF"/>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DejaVu Sans" w:hAnsi="DejaVu Sans" w:eastAsia="DejaVu Sans"/>
      <w:i/>
      <w:iCs/>
      <w:color w:val="FFFFFF"/>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exact" w:after="120"/>
    </w:pPr>
    <w:rPr>
      <w:rFonts w:ascii="DejaVu Sans" w:hAnsi="DejaVu Sans" w:eastAsia="DejaVu Sans"/>
      <w:b/>
      <w:bCs/>
      <w:i w:val="0"/>
      <w:color w:val="FFFFFF"/>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DejaVu Sans" w:hAnsi="DejaVu Sans" w:eastAsia="DejaVu Sans"/>
      <w:b/>
      <w:bCs/>
      <w:i/>
      <w:iCs/>
      <w:color w:val="FFFFFF"/>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DejaVu Sans" w:hAnsi="DejaVu Sans" w:eastAsia="DejaVu Sans"/>
      <w:color w:val="FFFFFF"/>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