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000000"/>
  <w:body>
    <w:p>
      <w:pPr>
        <w:pStyle w:val="Title"/>
      </w:pPr>
      <w:r>
        <w:rPr>
          <w:rFonts w:ascii="DejaVu Sans" w:hAnsi="DejaVu Sans"/>
        </w:rPr>
        <w:t>SercoCAN Installationsanleitung</w:t>
      </w:r>
    </w:p>
    <w:p>
      <w:pPr>
        <w:spacing w:after="180"/>
      </w:pPr>
      <w:r>
        <w:rPr>
          <w:rFonts w:ascii="DejaVu Sans" w:hAnsi="DejaVu Sans"/>
          <w:color w:val="ED6D00"/>
          <w:sz w:val="18"/>
        </w:rPr>
        <w:t>BMW RDC Anschluss  /  Deutsch</w:t>
      </w:r>
    </w:p>
    <w:p>
      <w:pPr>
        <w:spacing w:line="260" w:lineRule="exact"/>
      </w:pPr>
      <w:r>
        <w:rPr>
          <w:rFonts w:ascii="DejaVu Sans" w:hAnsi="DejaVu Sans"/>
          <w:color w:val="FFFFFF"/>
          <w:sz w:val="19"/>
        </w:rPr>
        <w:t>Diese Anleitung beschreibt den Anschluss von SercoCAN am BMW RDC Steckverbinder, den Anschluss der Leuchten und das Wiederanschließen der Batterie. Prüfen Sie vorher, ob der Steckverbinder des Motorrads zum mitgelieferten Kabelsatz passt. Die Fotos dienen zur Orientierung; die tatsächliche Position kann abweichen.</w:t>
      </w:r>
    </w:p>
    <w:p>
      <w:pPr>
        <w:spacing w:before="0" w:after="100" w:line="320" w:lineRule="exact"/>
      </w:pPr>
      <w:r>
        <w:rPr>
          <w:rFonts w:ascii="DejaVu Sans" w:hAnsi="DejaVu Sans"/>
          <w:b w:val="0"/>
          <w:color w:val="FFFFFF"/>
          <w:sz w:val="20"/>
        </w:rPr>
        <w:t>Unterstützte Modelle  R1200GS / R1250GS / F750GS / R1200RT</w:t>
        <w:br/>
        <w:t>R1250RT / F850GS / F900GS</w:t>
      </w:r>
    </w:p>
    <w:p>
      <w:pPr>
        <w:spacing w:line="250" w:lineRule="exact" w:after="80"/>
      </w:pPr>
      <w:r>
        <w:rPr>
          <w:rFonts w:ascii="DejaVu Sans" w:hAnsi="DejaVu Sans"/>
          <w:color w:val="FFFFFF"/>
          <w:sz w:val="18"/>
        </w:rPr>
        <w:t>Jedes Modell benötigt den passenden Adapterkabelsatz. Die folgenden Schritte gelten für RDC Steckverbinder. Bei anderen Ausführungen beachten Sie die Anleitung des jeweiligen Kabelsatzes.</w:t>
      </w:r>
    </w:p>
    <w:p>
      <w:pPr>
        <w:pStyle w:val="Heading1"/>
      </w:pPr>
      <w:r>
        <w:rPr>
          <w:rFonts w:ascii="DejaVu Sans" w:hAnsi="DejaVu Sans"/>
        </w:rPr>
        <w:t>1  Zündung ausschalten und Batterie abklemmen</w:t>
      </w:r>
    </w:p>
    <w:p>
      <w:pPr>
        <w:spacing w:line="260" w:lineRule="exact"/>
      </w:pPr>
      <w:r>
        <w:rPr>
          <w:rFonts w:ascii="DejaVu Sans" w:hAnsi="DejaVu Sans"/>
          <w:sz w:val="19"/>
        </w:rPr>
        <w:t>Schalten Sie die Zündung aus, entfernen Sie den Schlüssel und warten Sie, bis die Fahrzeugelektronik im Ruhemodus ist. Klemmen Sie zuerst den Minuspol (−), dann den Pluspol (+) ab, damit beim Kontakt eines Werkzeugs mit dem Rahmen kein Kurzschluss entsteht.</w:t>
      </w:r>
    </w:p>
    <w:p>
      <w:pPr>
        <w:pStyle w:val="Heading1"/>
      </w:pPr>
      <w:r>
        <w:rPr>
          <w:rFonts w:ascii="DejaVu Sans" w:hAnsi="DejaVu Sans"/>
        </w:rPr>
        <w:t>2  RDC Steckverbinder finden</w:t>
      </w:r>
    </w:p>
    <w:p>
      <w:pPr>
        <w:spacing w:line="260" w:lineRule="exact"/>
      </w:pPr>
      <w:r>
        <w:rPr>
          <w:rFonts w:ascii="DejaVu Sans" w:hAnsi="DejaVu Sans"/>
          <w:sz w:val="19"/>
        </w:rPr>
        <w:t>Entfernen Sie die Sitzbank und prüfen Sie den hinteren Elektronikbereich. Bei Motorrädern mit RDC Reifendruckkontrollmodul verwenden Sie dessen Originalstecker. Ohne RDC Modul suchen Sie den originalen Abschlusswiderstandsstecker oder die Blindkappe am entsprechenden Kabelsatzanschluss.</w:t>
      </w:r>
    </w:p>
    <w:p>
      <w:pPr>
        <w:spacing w:line="250" w:lineRule="exact"/>
      </w:pPr>
      <w:r>
        <w:rPr>
          <w:rFonts w:ascii="DejaVu Sans" w:hAnsi="DejaVu Sans"/>
          <w:color w:val="FFFFFF"/>
          <w:sz w:val="18"/>
        </w:rPr>
        <w:t>Prüfen Sie Steckerform, Kontakte und Verriegelung. Stecken Sie die Verbinder nicht mit Gewalt zusammen.</w:t>
      </w:r>
    </w:p>
    <w:p>
      <w:pPr>
        <w:keepNext/>
        <w:spacing w:before="80" w:after="60" w:line="240" w:lineRule="auto"/>
        <w:jc w:val="center"/>
      </w:pPr>
      <w:r>
        <w:drawing>
          <wp:inline xmlns:a="http://schemas.openxmlformats.org/drawingml/2006/main" xmlns:pic="http://schemas.openxmlformats.org/drawingml/2006/picture">
            <wp:extent cx="4846320" cy="3641433"/>
            <wp:docPr id="1" name="Picture 1"/>
            <wp:cNvGraphicFramePr>
              <a:graphicFrameLocks noChangeAspect="1"/>
            </wp:cNvGraphicFramePr>
            <a:graphic>
              <a:graphicData uri="http://schemas.openxmlformats.org/drawingml/2006/picture">
                <pic:pic>
                  <pic:nvPicPr>
                    <pic:cNvPr id="0" name="orange_photo_7.png"/>
                    <pic:cNvPicPr/>
                  </pic:nvPicPr>
                  <pic:blipFill>
                    <a:blip r:embed="rId11"/>
                    <a:stretch>
                      <a:fillRect/>
                    </a:stretch>
                  </pic:blipFill>
                  <pic:spPr>
                    <a:xfrm>
                      <a:off x="0" y="0"/>
                      <a:ext cx="4846320" cy="3641433"/>
                    </a:xfrm>
                    <a:prstGeom prst="rect"/>
                  </pic:spPr>
                </pic:pic>
              </a:graphicData>
            </a:graphic>
          </wp:inline>
        </w:drawing>
      </w:r>
    </w:p>
    <w:p>
      <w:pPr>
        <w:pStyle w:val="Caption"/>
        <w:spacing w:line="220" w:lineRule="exact"/>
        <w:jc w:val="center"/>
      </w:pPr>
      <w:r>
        <w:rPr>
          <w:rFonts w:ascii="DejaVu Sans" w:hAnsi="DejaVu Sans"/>
          <w:sz w:val="16"/>
        </w:rPr>
        <w:t>Abb. 1  Grüner Pfeil: Anschlussstelle. Rotes Kreuz: hier nicht trennen.</w:t>
      </w:r>
    </w:p>
    <w:p>
      <w:pPr>
        <w:pStyle w:val="Heading1"/>
        <w:pageBreakBefore/>
      </w:pPr>
      <w:r>
        <w:rPr>
          <w:rFonts w:ascii="DejaVu Sans" w:hAnsi="DejaVu Sans"/>
        </w:rPr>
        <w:t>3A  Motorräder mit RDC Modul</w:t>
      </w:r>
    </w:p>
    <w:p>
      <w:pPr>
        <w:spacing w:line="260" w:lineRule="exact"/>
      </w:pPr>
      <w:r>
        <w:rPr>
          <w:rFonts w:ascii="DejaVu Sans" w:hAnsi="DejaVu Sans"/>
          <w:sz w:val="19"/>
        </w:rPr>
        <w:t>1. Entriegeln Sie den Originalstecker am RDC Modul und ziehen Sie ihn ab.</w:t>
        <w:br/>
        <w:t>2. Verbinden Sie ihn mit dem passenden Ende des SercoCAN Adapterkabelsatzes. Schließen Sie das andere Ende wieder am RDC Modul an, sodass der Adapter dazwischengeschaltet ist.</w:t>
        <w:br/>
        <w:t>3. Verbinden Sie den Rundstecker des Adapters mit dem SercoCAN Anschluss. Alle Verriegelungen müssen vollständig einrasten.</w:t>
      </w:r>
    </w:p>
    <w:p>
      <w:pPr>
        <w:pStyle w:val="Heading1"/>
        <w:pageBreakBefore w:val="0"/>
      </w:pPr>
      <w:r>
        <w:rPr>
          <w:rFonts w:ascii="DejaVu Sans" w:hAnsi="DejaVu Sans"/>
        </w:rPr>
        <w:t>3B  Motorräder ohne RDC Modul</w:t>
      </w:r>
    </w:p>
    <w:p>
      <w:pPr>
        <w:spacing w:line="260" w:lineRule="exact"/>
      </w:pPr>
      <w:r>
        <w:rPr>
          <w:rFonts w:ascii="DejaVu Sans" w:hAnsi="DejaVu Sans"/>
          <w:sz w:val="19"/>
        </w:rPr>
        <w:t>1. Suchen Sie den originalen Abschlusswiderstandsstecker oder die Blindkappe an der RDC Kabelsatzposition. Prüfen Sie die Kompatibilität mit dem Adapter, entriegeln Sie das Teil und nehmen Sie es ab.</w:t>
        <w:br/>
        <w:t>2. Verbinden Sie den Originalkabelsatz mit dem passenden Adapterende. Stecken Sie den entfernten Abschlusswiderstandsstecker oder die Blindkappe auf den entsprechenden freien Anschluss des Adapters.</w:t>
        <w:br/>
        <w:t>3. Verbinden Sie den Rundstecker des Adapters mit dem SercoCAN Anschluss. Alle Verriegelungen müssen vollständig einrasten.</w:t>
      </w:r>
    </w:p>
    <w:p>
      <w:pPr>
        <w:spacing w:line="250" w:lineRule="exact"/>
      </w:pPr>
      <w:r>
        <w:rPr>
          <w:rFonts w:ascii="DejaVu Sans" w:hAnsi="DejaVu Sans"/>
          <w:color w:val="FFFFFF"/>
          <w:sz w:val="18"/>
        </w:rPr>
        <w:t>Hinweis: Ein Abschlusswiderstandsstecker ist keine gewöhnliche Staubschutzkappe. Entsorgen Sie ihn nicht und ersetzen Sie ihn nicht durch eine einfache Blindkappe. Fehlt der passende vorbereitete Anschluss, klären Sie zuerst, welcher spezielle Kabelsatz benötigt wird.</w:t>
      </w:r>
    </w:p>
    <w:p>
      <w:pPr>
        <w:pStyle w:val="Heading1"/>
      </w:pPr>
      <w:r>
        <w:rPr>
          <w:rFonts w:ascii="DejaVu Sans" w:hAnsi="DejaVu Sans"/>
        </w:rPr>
        <w:t>4  Leuchten anschließen und Kabelsatz befestigen</w:t>
      </w:r>
    </w:p>
    <w:p>
      <w:pPr>
        <w:spacing w:line="260" w:lineRule="exact"/>
      </w:pPr>
      <w:r>
        <w:rPr>
          <w:rFonts w:ascii="DejaVu Sans" w:hAnsi="DejaVu Sans"/>
          <w:sz w:val="19"/>
        </w:rPr>
        <w:t>SercoCAN bietet vier Leuchtenanschlüsse: zwei für Hauptleuchten und zwei für Zusatzleuchten. Beachten Sie die Beschriftung und vertauschen Sie die Gruppen nicht. Befestigen Sie Steuergerät und Kabelsatz fern von heißen Teilen, scharfen Kanten und beweglichen Bauteilen. Die Sitzbank darf die Kabel nicht einklemmen.</w:t>
      </w:r>
    </w:p>
    <w:p>
      <w:pPr>
        <w:keepNext/>
        <w:spacing w:before="80" w:after="60" w:line="240" w:lineRule="auto"/>
        <w:jc w:val="center"/>
      </w:pPr>
      <w:r>
        <w:drawing>
          <wp:inline xmlns:a="http://schemas.openxmlformats.org/drawingml/2006/main" xmlns:pic="http://schemas.openxmlformats.org/drawingml/2006/picture">
            <wp:extent cx="2743200" cy="1544671"/>
            <wp:docPr id="2" name="Picture 2"/>
            <wp:cNvGraphicFramePr>
              <a:graphicFrameLocks noChangeAspect="1"/>
            </wp:cNvGraphicFramePr>
            <a:graphic>
              <a:graphicData uri="http://schemas.openxmlformats.org/drawingml/2006/picture">
                <pic:pic>
                  <pic:nvPicPr>
                    <pic:cNvPr id="0" name="orange_photo_17.png"/>
                    <pic:cNvPicPr/>
                  </pic:nvPicPr>
                  <pic:blipFill>
                    <a:blip r:embed="rId12"/>
                    <a:stretch>
                      <a:fillRect/>
                    </a:stretch>
                  </pic:blipFill>
                  <pic:spPr>
                    <a:xfrm>
                      <a:off x="0" y="0"/>
                      <a:ext cx="2743200" cy="1544671"/>
                    </a:xfrm>
                    <a:prstGeom prst="rect"/>
                  </pic:spPr>
                </pic:pic>
              </a:graphicData>
            </a:graphic>
          </wp:inline>
        </w:drawing>
      </w:r>
    </w:p>
    <w:p>
      <w:pPr>
        <w:pStyle w:val="Caption"/>
        <w:spacing w:line="220" w:lineRule="exact"/>
        <w:jc w:val="center"/>
      </w:pPr>
      <w:r>
        <w:rPr>
          <w:rFonts w:ascii="DejaVu Sans" w:hAnsi="DejaVu Sans"/>
          <w:sz w:val="16"/>
        </w:rPr>
        <w:t>Abb. 2  SercoCAN Steuergerät und Einbaubereich</w:t>
      </w:r>
    </w:p>
    <w:p>
      <w:pPr>
        <w:pStyle w:val="Heading1"/>
      </w:pPr>
      <w:r>
        <w:rPr>
          <w:rFonts w:ascii="DejaVu Sans" w:hAnsi="DejaVu Sans"/>
        </w:rPr>
        <w:t>5  Batterie wieder anschließen</w:t>
      </w:r>
    </w:p>
    <w:p>
      <w:pPr>
        <w:spacing w:line="260" w:lineRule="exact"/>
      </w:pPr>
      <w:r>
        <w:rPr>
          <w:rFonts w:ascii="DejaVu Sans" w:hAnsi="DejaVu Sans"/>
          <w:sz w:val="19"/>
        </w:rPr>
        <w:t>Schließen Sie zuerst die abgesicherte SercoCAN Plusleitung zusammen mit der originalen Plusleitung am Pluspol (+) an. Schließen Sie danach die SercoCAN Minusleitung zusammen mit der originalen Minusleitung am Minuspol (−) an. Beachten Sie die Polaritätsmarkierungen an den Kabelanschlüssen; verlassen Sie sich nicht nur auf die Kabelfarben.</w:t>
      </w:r>
    </w:p>
    <w:p>
      <w:pPr>
        <w:pStyle w:val="Heading1"/>
      </w:pPr>
      <w:r>
        <w:rPr>
          <w:rFonts w:ascii="DejaVu Sans" w:hAnsi="DejaVu Sans"/>
        </w:rPr>
        <w:t>6  Funktion prüfen</w:t>
      </w:r>
    </w:p>
    <w:p>
      <w:pPr>
        <w:spacing w:line="260" w:lineRule="exact"/>
      </w:pPr>
      <w:r>
        <w:rPr>
          <w:rFonts w:ascii="DejaVu Sans" w:hAnsi="DejaVu Sans"/>
          <w:sz w:val="19"/>
        </w:rPr>
        <w:t>Prüfen Sie alle Verriegelungen, den festen Sitz der Batterieklemmen und die Kabelbefestigung. Schalten Sie dann die Zündung ein. Prüfen Sie Haupt- und Zusatzleuchten sowie deren Bedienfunktionen getrennt. Es dürfen keine neuen Fehlermeldungen erscheinen. Montieren Sie danach die Sitzbank.</w:t>
      </w:r>
    </w:p>
    <w:p>
      <w:pPr>
        <w:spacing w:line="250" w:lineRule="exact"/>
      </w:pPr>
      <w:r>
        <w:rPr>
          <w:rFonts w:ascii="DejaVu Sans" w:hAnsi="DejaVu Sans"/>
          <w:color w:val="FFFFFF"/>
          <w:sz w:val="18"/>
        </w:rPr>
        <w:t>Reagieren die Leuchten nicht oder erscheint eine neue Fehlermeldung, schalten Sie die Zündung aus. Prüfen Sie Steckverbinder, Leuchtengruppen und Versorgungspolarität. Trennen und verbinden Sie die Stecker nicht wiederholt unter Spannung.</w:t>
      </w:r>
    </w:p>
    <w:sectPr w:rsidR="00FC693F" w:rsidRPr="0006063C" w:rsidSect="00034616">
      <w:headerReference w:type="default" r:id="rId9"/>
      <w:footerReference w:type="default" r:id="rId10"/>
      <w:pgSz w:w="12240" w:h="15840"/>
      <w:pgMar w:top="1123" w:right="1080" w:bottom="936" w:left="1080"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576" w:val="left"/>
      </w:tabs>
      <w:spacing w:after="0"/>
    </w:pPr>
    <w:r>
      <w:rPr>
        <w:color w:val="FFFFFF"/>
        <w:sz w:val="16"/>
      </w:rPr>
      <w:t>SERCOCAN  ·  Installationsanleitung</w:t>
    </w:r>
    <w:r>
      <w:rPr>
        <w:color w:val="FFFFFF"/>
      </w:rPr>
      <w:tab/>
    </w:r>
    <w:r>
      <w:rPr>
        <w:b/>
        <w:color w:val="FFFFFF"/>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40" w:lineRule="auto"/>
    </w:pPr>
    <w:r>
      <w:drawing>
        <wp:inline xmlns:a="http://schemas.openxmlformats.org/drawingml/2006/main" xmlns:pic="http://schemas.openxmlformats.org/drawingml/2006/picture">
          <wp:extent cx="1508760" cy="375211"/>
          <wp:docPr id="1" name="Picture 1"/>
          <wp:cNvGraphicFramePr>
            <a:graphicFrameLocks noChangeAspect="1"/>
          </wp:cNvGraphicFramePr>
          <a:graphic>
            <a:graphicData uri="http://schemas.openxmlformats.org/drawingml/2006/picture">
              <pic:pic>
                <pic:nvPicPr>
                  <pic:cNvPr id="0" name="SercoMoto.png"/>
                  <pic:cNvPicPr/>
                </pic:nvPicPr>
                <pic:blipFill>
                  <a:blip r:embed="rId1"/>
                  <a:stretch>
                    <a:fillRect/>
                  </a:stretch>
                </pic:blipFill>
                <pic:spPr>
                  <a:xfrm>
                    <a:off x="0" y="0"/>
                    <a:ext cx="1508760" cy="375211"/>
                  </a:xfrm>
                  <a:prstGeom prst="rect"/>
                </pic:spPr>
              </pic:pic>
            </a:graphicData>
          </a:graphic>
        </wp:inline>
      </w:drawing>
    </w:r>
    <w: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0</wp:posOffset>
          </wp:positionH>
          <wp:positionV relativeFrom="page">
            <wp:posOffset>0</wp:posOffset>
          </wp:positionV>
          <wp:extent cx="7772400" cy="10058400"/>
          <wp:wrapNone/>
          <wp:docPr id="990" name="Black page background"/>
          <wp:cNvGraphicFramePr>
            <a:graphicFrameLocks noChangeAspect="1"/>
          </wp:cNvGraphicFramePr>
          <a:graphic>
            <a:graphicData uri="http://schemas.openxmlformats.org/drawingml/2006/picture">
              <pic:pic>
                <pic:nvPicPr>
                  <pic:cNvPr id="0" name="page_black.png"/>
                  <pic:cNvPicPr/>
                </pic:nvPicPr>
                <pic:blipFill>
                  <a:blip r:embed="rId2"/>
                  <a:stretch>
                    <a:fillRect/>
                  </a:stretch>
                </pic:blipFill>
                <pic:spPr>
                  <a:xfrm>
                    <a:off x="0" y="0"/>
                    <a:ext cx="7772400" cy="10058400"/>
                  </a:xfrm>
                  <a:prstGeom prst="rect"/>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0" w:lineRule="exact" w:after="120"/>
    </w:pPr>
    <w:rPr>
      <w:rFonts w:ascii="DejaVu Sans" w:hAnsi="DejaVu Sans" w:eastAsia="DejaVu Sans"/>
      <w:color w:val="FFFFFF"/>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DejaVu Sans" w:hAnsi="DejaVu Sans" w:eastAsia="DejaVu Sans"/>
      <w:color w:val="FFFFFF"/>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DejaVu Sans" w:hAnsi="DejaVu Sans" w:eastAsia="DejaVu Sans"/>
      <w:color w:val="FFFFFF"/>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line="320" w:lineRule="exact"/>
      <w:outlineLvl w:val="0"/>
    </w:pPr>
    <w:rPr>
      <w:rFonts w:asciiTheme="majorHAnsi" w:eastAsiaTheme="majorEastAsia" w:hAnsiTheme="majorHAnsi" w:cstheme="majorBidi" w:ascii="DejaVu Sans" w:hAnsi="DejaVu Sans" w:eastAsia="DejaVu Sans"/>
      <w:b/>
      <w:bCs/>
      <w:color w:val="ED6D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DejaVu Sans" w:hAnsi="DejaVu Sans" w:eastAsia="DejaVu Sans"/>
      <w:b/>
      <w:bCs/>
      <w:color w:val="FFFFFF"/>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DejaVu Sans" w:hAnsi="DejaVu Sans" w:eastAsia="DejaVu Sans"/>
      <w:b/>
      <w:bCs/>
      <w:color w:val="FFFFFF"/>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DejaVu Sans" w:hAnsi="DejaVu Sans" w:eastAsia="DejaVu Sans"/>
      <w:b/>
      <w:bCs/>
      <w:i/>
      <w:iCs/>
      <w:color w:val="FFFFFF"/>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DejaVu Sans" w:hAnsi="DejaVu Sans" w:eastAsia="DejaVu Sans"/>
      <w:color w:val="FFFFF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DejaVu Sans" w:hAnsi="DejaVu Sans" w:eastAsia="DejaVu Sans"/>
      <w:i/>
      <w:iCs/>
      <w:color w:val="FFFFF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DejaVu Sans" w:hAnsi="DejaVu Sans" w:eastAsia="DejaVu Sans"/>
      <w:i/>
      <w:iCs/>
      <w:color w:val="FFFFF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DejaVu Sans" w:hAnsi="DejaVu Sans" w:eastAsia="DejaVu Sans"/>
      <w:color w:val="FFFFFF"/>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DejaVu Sans" w:hAnsi="DejaVu Sans" w:eastAsia="DejaVu Sans"/>
      <w:i/>
      <w:iCs/>
      <w:color w:val="FFFFF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DejaVu Sans" w:hAnsi="DejaVu Sans" w:eastAsia="DejaVu Sans"/>
      <w:color w:val="FFFFFF"/>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DejaVu Sans" w:hAnsi="DejaVu Sans" w:eastAsia="DejaVu Sans"/>
      <w:b/>
      <w:color w:val="FFFFFF"/>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DejaVu Sans" w:hAnsi="DejaVu Sans" w:eastAsia="DejaVu Sans"/>
      <w:i/>
      <w:iCs/>
      <w:color w:val="FFFFFF"/>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DejaVu Sans" w:hAnsi="DejaVu Sans" w:eastAsia="DejaVu Sans"/>
      <w:color w:val="FFFFFF"/>
    </w:rPr>
  </w:style>
  <w:style w:type="paragraph" w:styleId="BodyText">
    <w:name w:val="Body Text"/>
    <w:basedOn w:val="Normal"/>
    <w:link w:val="BodyTextChar"/>
    <w:uiPriority w:val="99"/>
    <w:unhideWhenUsed/>
    <w:rsid w:val="00AA1D8D"/>
    <w:pPr>
      <w:spacing w:after="120"/>
    </w:pPr>
    <w:rPr>
      <w:rFonts w:ascii="DejaVu Sans" w:hAnsi="DejaVu Sans" w:eastAsia="DejaVu Sans"/>
      <w:color w:val="FFFFFF"/>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DejaVu Sans" w:hAnsi="DejaVu Sans" w:eastAsia="DejaVu Sans"/>
      <w:color w:val="FFFFFF"/>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DejaVu Sans" w:hAnsi="DejaVu Sans" w:eastAsia="DejaVu Sans"/>
      <w:color w:val="FFFFFF"/>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DejaVu Sans" w:hAnsi="DejaVu Sans" w:eastAsia="DejaVu Sans"/>
      <w:color w:val="FFFFFF"/>
    </w:rPr>
  </w:style>
  <w:style w:type="paragraph" w:styleId="List2">
    <w:name w:val="List 2"/>
    <w:basedOn w:val="Normal"/>
    <w:uiPriority w:val="99"/>
    <w:unhideWhenUsed/>
    <w:rsid w:val="00326F90"/>
    <w:pPr>
      <w:ind w:left="720" w:hanging="360"/>
      <w:contextualSpacing/>
    </w:pPr>
    <w:rPr>
      <w:rFonts w:ascii="DejaVu Sans" w:hAnsi="DejaVu Sans" w:eastAsia="DejaVu Sans"/>
      <w:color w:val="FFFFFF"/>
    </w:rPr>
  </w:style>
  <w:style w:type="paragraph" w:styleId="List3">
    <w:name w:val="List 3"/>
    <w:basedOn w:val="Normal"/>
    <w:uiPriority w:val="99"/>
    <w:unhideWhenUsed/>
    <w:rsid w:val="00326F90"/>
    <w:pPr>
      <w:ind w:left="1080" w:hanging="360"/>
      <w:contextualSpacing/>
    </w:pPr>
    <w:rPr>
      <w:rFonts w:ascii="DejaVu Sans" w:hAnsi="DejaVu Sans" w:eastAsia="DejaVu Sans"/>
      <w:color w:val="FFFFFF"/>
    </w:rPr>
  </w:style>
  <w:style w:type="paragraph" w:styleId="ListBullet">
    <w:name w:val="List Bullet"/>
    <w:basedOn w:val="Normal"/>
    <w:uiPriority w:val="99"/>
    <w:unhideWhenUsed/>
    <w:rsid w:val="00326F90"/>
    <w:pPr>
      <w:numPr>
        <w:numId w:val="1"/>
      </w:numPr>
      <w:contextualSpacing/>
    </w:pPr>
    <w:rPr>
      <w:rFonts w:ascii="DejaVu Sans" w:hAnsi="DejaVu Sans" w:eastAsia="DejaVu Sans"/>
      <w:color w:val="FFFFFF"/>
    </w:rPr>
  </w:style>
  <w:style w:type="paragraph" w:styleId="ListBullet2">
    <w:name w:val="List Bullet 2"/>
    <w:basedOn w:val="Normal"/>
    <w:uiPriority w:val="99"/>
    <w:unhideWhenUsed/>
    <w:rsid w:val="00326F90"/>
    <w:pPr>
      <w:numPr>
        <w:numId w:val="2"/>
      </w:numPr>
      <w:contextualSpacing/>
    </w:pPr>
    <w:rPr>
      <w:rFonts w:ascii="DejaVu Sans" w:hAnsi="DejaVu Sans" w:eastAsia="DejaVu Sans"/>
      <w:color w:val="FFFFFF"/>
    </w:rPr>
  </w:style>
  <w:style w:type="paragraph" w:styleId="ListBullet3">
    <w:name w:val="List Bullet 3"/>
    <w:basedOn w:val="Normal"/>
    <w:uiPriority w:val="99"/>
    <w:unhideWhenUsed/>
    <w:rsid w:val="00326F90"/>
    <w:pPr>
      <w:numPr>
        <w:numId w:val="3"/>
      </w:numPr>
      <w:contextualSpacing/>
    </w:pPr>
    <w:rPr>
      <w:rFonts w:ascii="DejaVu Sans" w:hAnsi="DejaVu Sans" w:eastAsia="DejaVu Sans"/>
      <w:color w:val="FFFFFF"/>
    </w:rPr>
  </w:style>
  <w:style w:type="paragraph" w:styleId="ListNumber">
    <w:name w:val="List Number"/>
    <w:basedOn w:val="Normal"/>
    <w:uiPriority w:val="99"/>
    <w:unhideWhenUsed/>
    <w:rsid w:val="00326F90"/>
    <w:pPr>
      <w:numPr>
        <w:numId w:val="5"/>
      </w:numPr>
      <w:contextualSpacing/>
    </w:pPr>
    <w:rPr>
      <w:rFonts w:ascii="DejaVu Sans" w:hAnsi="DejaVu Sans" w:eastAsia="DejaVu Sans"/>
      <w:color w:val="FFFFFF"/>
    </w:rPr>
  </w:style>
  <w:style w:type="paragraph" w:styleId="ListNumber2">
    <w:name w:val="List Number 2"/>
    <w:basedOn w:val="Normal"/>
    <w:uiPriority w:val="99"/>
    <w:unhideWhenUsed/>
    <w:rsid w:val="0029639D"/>
    <w:pPr>
      <w:numPr>
        <w:numId w:val="6"/>
      </w:numPr>
      <w:contextualSpacing/>
    </w:pPr>
    <w:rPr>
      <w:rFonts w:ascii="DejaVu Sans" w:hAnsi="DejaVu Sans" w:eastAsia="DejaVu Sans"/>
      <w:color w:val="FFFFFF"/>
    </w:rPr>
  </w:style>
  <w:style w:type="paragraph" w:styleId="ListNumber3">
    <w:name w:val="List Number 3"/>
    <w:basedOn w:val="Normal"/>
    <w:uiPriority w:val="99"/>
    <w:unhideWhenUsed/>
    <w:rsid w:val="0029639D"/>
    <w:pPr>
      <w:numPr>
        <w:numId w:val="7"/>
      </w:numPr>
      <w:contextualSpacing/>
    </w:pPr>
    <w:rPr>
      <w:rFonts w:ascii="DejaVu Sans" w:hAnsi="DejaVu Sans" w:eastAsia="DejaVu Sans"/>
      <w:color w:val="FFFFFF"/>
    </w:rPr>
  </w:style>
  <w:style w:type="paragraph" w:styleId="ListContinue">
    <w:name w:val="List Continue"/>
    <w:basedOn w:val="Normal"/>
    <w:uiPriority w:val="99"/>
    <w:unhideWhenUsed/>
    <w:rsid w:val="0029639D"/>
    <w:pPr>
      <w:spacing w:after="120"/>
      <w:ind w:left="360"/>
      <w:contextualSpacing/>
    </w:pPr>
    <w:rPr>
      <w:rFonts w:ascii="DejaVu Sans" w:hAnsi="DejaVu Sans" w:eastAsia="DejaVu Sans"/>
      <w:color w:val="FFFFFF"/>
    </w:rPr>
  </w:style>
  <w:style w:type="paragraph" w:styleId="ListContinue2">
    <w:name w:val="List Continue 2"/>
    <w:basedOn w:val="Normal"/>
    <w:uiPriority w:val="99"/>
    <w:unhideWhenUsed/>
    <w:rsid w:val="0029639D"/>
    <w:pPr>
      <w:spacing w:after="120"/>
      <w:ind w:left="720"/>
      <w:contextualSpacing/>
    </w:pPr>
    <w:rPr>
      <w:rFonts w:ascii="DejaVu Sans" w:hAnsi="DejaVu Sans" w:eastAsia="DejaVu Sans"/>
      <w:color w:val="FFFFFF"/>
    </w:rPr>
  </w:style>
  <w:style w:type="paragraph" w:styleId="ListContinue3">
    <w:name w:val="List Continue 3"/>
    <w:basedOn w:val="Normal"/>
    <w:uiPriority w:val="99"/>
    <w:unhideWhenUsed/>
    <w:rsid w:val="0029639D"/>
    <w:pPr>
      <w:spacing w:after="120"/>
      <w:ind w:left="1080"/>
      <w:contextualSpacing/>
    </w:pPr>
    <w:rPr>
      <w:rFonts w:ascii="DejaVu Sans" w:hAnsi="DejaVu Sans" w:eastAsia="DejaVu Sans"/>
      <w:color w:val="FFFFFF"/>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DejaVu Sans" w:hAnsi="DejaVu Sans" w:eastAsia="DejaVu Sans"/>
      <w:color w:val="FFFFFF"/>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DejaVu Sans" w:hAnsi="DejaVu Sans" w:eastAsia="DejaVu Sans"/>
      <w:i/>
      <w:iCs/>
      <w:color w:val="FFFFFF"/>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exact" w:after="120"/>
    </w:pPr>
    <w:rPr>
      <w:rFonts w:ascii="DejaVu Sans" w:hAnsi="DejaVu Sans" w:eastAsia="DejaVu Sans"/>
      <w:b/>
      <w:bCs/>
      <w:i w:val="0"/>
      <w:color w:val="FFFFFF"/>
      <w:sz w:val="17"/>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DejaVu Sans" w:hAnsi="DejaVu Sans" w:eastAsia="DejaVu Sans"/>
      <w:b/>
      <w:bCs/>
      <w:i/>
      <w:iCs/>
      <w:color w:val="FFFFFF"/>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DejaVu Sans" w:hAnsi="DejaVu Sans" w:eastAsia="DejaVu Sans"/>
      <w:color w:val="FFFFFF"/>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